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StrlSchG — Verordnungsermächtigungen zum Schutz der Einsatzkräfte</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wird ermächtigt, durch Rechtsverordnung</w:t>
      </w:r>
    </w:p>
    <w:p>
      <w:pPr>
        <w:ind w:left="420"/>
      </w:pPr>
      <w:r>
        <w:t xml:space="preserve">1. wesentliche Inhalte der in § 113 vorgeschriebenen Unterrichtung, Aus- und Fortbildung zu regeln,</w:t>
      </w:r>
    </w:p>
    <w:p>
      <w:pPr>
        <w:ind w:left="420"/>
      </w:pPr>
      <w:r>
        <w:t xml:space="preserve">2. Art und Inhalte der in § 114 Absatz 2 und 3 vorgeschriebenen Unterrichtung zu regeln,</w:t>
      </w:r>
    </w:p>
    <w:p>
      <w:pPr>
        <w:ind w:left="420"/>
      </w:pPr>
      <w:r>
        <w:t xml:space="preserve">3. die in § 76 Absatz 1 und § 79 genannten weiteren Regelungen über die physikalische Strahlenschutzkontrolle, Schutzbereiche, Schutz-, Vorsorge- und Überwachungsmaßnahmen zum Schutz der Einsatzkräfte zu treffen,</w:t>
      </w:r>
    </w:p>
    <w:p>
      <w:pPr>
        <w:ind w:left="420"/>
      </w:pPr>
      <w:r>
        <w:t xml:space="preserve">4. zu bestimmen, welche Personen, Behörden oder Organisationen für die nach Nummer 3 geregelten Maßnahmen zum Schutz der Einsatzkräfte verantwortlich sind.</w:t>
      </w:r>
    </w:p>
    <w:p>
      <w:r>
        <w:t xml:space="preserve">Rechtsverordnungen nach Satz 1 Nummer 2 bis 4 bedürfen der Zustimmung des Bundesrates.</w:t>
      </w:r>
    </w:p>
    <w:p>
      <w:r>
        <w:t xml:space="preserve">(2) Bei Eilbedürftigkeit nach Eintritt eines Notfalls kann das Bundesministerium für Umwelt, Naturschutz und nukleare Sicherheit Regelungen nach Absatz 1 Satz 1 Nummer 2 bis 4 durch Rechtsverordnung ohne die Zustimmung des Bundesrates erlassen (Eilverordnungen), soweit noch keine entsprechenden Regelungen bestehen. Eilverordnungen treten spätestens sechs Monate nach ihrem Inkrafttreten außer Kraft. Ihre Geltungsdauer kann nur durch eine Rechtsverordnung mit Zustimmung des Bundesrates und im Einvernehmen mit den zu beteiligenden Bundesministerien verlängert werden. Eilverordnungen, die bestehende Regelungen ändern, sind unverzüglich aufzuheben, wenn der Bundesrat dies verlangt.</w:t>
      </w:r>
    </w:p>
    <w:p>
      <w:r>
        <w:t xml:space="preserve">(3) Das Landesrecht regelt, ob und inwieweit Rechtsverordnungen nach Absatz 1 Satz 1 Nummer 1 auch für die Beschäftigten der zuständigen Behörden der Länder, Gemeinden und sonstigen Körperschaften, Anstalten und Stiftungen des öffentlichen Rechts der Länder sowie privater Hilfsorganisationen gelten, die beim Katastrophenschutz oder beim Vollzug anderer landesrechtlicher Vorschriften zur Gefahrenabwehr und Hilfeleistung mitwirken.</w:t>
      </w:r>
    </w:p>
    <w:p>
      <w:r>
        <w:t xml:space="preserve">(4) Das Grundrecht auf körperliche Unversehrtheit (Artikel 2 Absatz 2 Satz 1 des Grundgesetzes) wird nach Maßgabe des Absatzes 1 Satz 1 Nummer 3 eingeschränkt.</w:t>
      </w:r>
    </w:p>
    <w:p>
      <w:r>
        <w:rPr>
          <w:color w:val="555555"/>
          <w:sz w:val="17"/>
        </w:rPr>
        <w:t xml:space="preserve">Zitiervorschlag: § 117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