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116 StrlSchG — Schutz der Einsatzkräfte bei anderen Gefahrenlagen</w:t>
      </w:r>
    </w:p>
    <w:p>
      <w:r>
        <w:rPr>
          <w:color w:val="555555"/>
          <w:sz w:val="18"/>
        </w:rPr>
        <w:t xml:space="preserve">Strahlenschutzgesetz</w:t>
      </w:r>
    </w:p>
    <w:p>
      <w:r>
        <w:rPr>
          <w:color w:val="555555"/>
          <w:sz w:val="18"/>
        </w:rPr>
        <w:t xml:space="preserve">Stand: 10.06.2019 (konsolidierte Textfassung, kein amtliches Inkrafttretensdatum)</w:t>
      </w:r>
    </w:p>
    <w:p>
      <w:r>
        <w:t xml:space="preserve">Bei der Vorbereitung und Durchführung von Einsätzen, die nicht der Bekämpfung eines Notfalls im Sinne dieses Gesetzes, sondern der Bekämpfung einer anderen Gefahrenlage dienen, und bei denen die Einsatzkräfte ionisierender Strahlung ausgesetzt sein können, sind die §§ 113 bis 115 entsprechend anzuwenden.</w:t>
      </w:r>
    </w:p>
    <w:p>
      <w:r>
        <w:rPr>
          <w:color w:val="555555"/>
          <w:sz w:val="17"/>
        </w:rPr>
        <w:t xml:space="preserve">Zitiervorschlag: § 116 StrlSchG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https://recht.nulegal.eu/gesetze/StrlSchG/116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