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StrlSchG — Information der betroffenen Bevölkerung und Empfehlungen für das Verhalten bei Notfällen</w:t>
      </w:r>
    </w:p>
    <w:p>
      <w:r>
        <w:rPr>
          <w:color w:val="555555"/>
          <w:sz w:val="18"/>
        </w:rPr>
        <w:t xml:space="preserve">Strahlenschutzgesetz</w:t>
      </w:r>
    </w:p>
    <w:p>
      <w:r>
        <w:rPr>
          <w:color w:val="555555"/>
          <w:sz w:val="18"/>
        </w:rPr>
        <w:t xml:space="preserve">Stand: 12.08.2020 (konsolidierte Textfassung, kein amtliches Inkrafttretensdatum)</w:t>
      </w:r>
    </w:p>
    <w:p>
      <w:r>
        <w:t xml:space="preserve">(1) Die nach Landesrecht zuständigen Behörden informieren bei einem lokalen Notfall unverzüglich die möglicherweise betroffene Bevölkerung über den Notfall und geben ihr angemessene Empfehlungen für das Verhalten bei diesem Notfall.</w:t>
      </w:r>
    </w:p>
    <w:p>
      <w:r>
        <w:t xml:space="preserve">(2) Die für den Katastrophenschutz zuständigen Behörden unterrichten bei überregionalen und regionalen Notfällen, die in ihrem Zuständigkeitsbereich zu einer Katastrophe geführt haben oder führen können, unverzüglich die in ihrem Zuständigkeitsbereich möglicherweise betroffene Bevölkerung über den eingetretenen Notfall und geben ihr angemessene Empfehlungen für das Verhalten in diesem Notfall.</w:t>
      </w:r>
    </w:p>
    <w:p>
      <w:r>
        <w:t xml:space="preserve">(3) Das Bundesministerium für Umwelt, Naturschutz und nukleare Sicherheit unterrichtet unverzüglich bei überregionalen und regionalen Notfällen die möglicherweise betroffene Bevölkerung und gibt ihr angemessene Empfehlungen für das Verhalten bei diesem Notfall, soweit nicht die für den Katastrophenschutz zuständigen Behörden nach Absatz 2 für die Unterrichtung der Bevölkerung und Verhaltensempfehlungen zuständig sind.</w:t>
      </w:r>
    </w:p>
    <w:p>
      <w:r>
        <w:t xml:space="preserve">(4) Die Informationen, Aufforderungen und Verhaltensempfehlungen umfassen die in Anlage 7 aufgeführten Punkte, die für den jeweiligen Notfall relevant sind.</w:t>
      </w:r>
    </w:p>
    <w:p>
      <w:r>
        <w:rPr>
          <w:color w:val="555555"/>
          <w:sz w:val="17"/>
        </w:rPr>
        <w:t xml:space="preserve">Zitiervorschlag: § 112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