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StrlSchG — Voraussetzungen für die Erteilung der Genehmigung; Aussetzung des Genehmigungsverfahrens</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zuständige Behörde hat die Genehmigung für die Errichtung einer Anlage nach § 10 zu erteilen, wenn</w:t>
      </w:r>
    </w:p>
    <w:p>
      <w:pPr>
        <w:ind w:left="420"/>
      </w:pPr>
      <w:r>
        <w:t xml:space="preserve">1. keine Tatsachen vorliegen, aus denen sich Bedenken gegen die Zuverlässigkeit des Antragstellers, seines gesetzlichen Vertreters oder, bei juristischen Personen oder sonstigen Personenvereinigungen, der nach Gesetz, Satzung oder Gesellschaftsvertrag zur Vertretung oder Geschäftsführung Berechtigten ergeben,</w:t>
      </w:r>
    </w:p>
    <w:p>
      <w:pPr>
        <w:ind w:left="420"/>
      </w:pPr>
      <w:r>
        <w:t xml:space="preserve">2. gewährleistet ist, dass für die Errichtung der Anlage ein Strahlenschutzbeauftragter bestellt wird, der die erforderliche Fachkunde im Strahlenschutz besitzt und der die Anlage entsprechend der Genehmigung errichten oder errichten lassen kann; es dürfen keine Tatsachen vorliegen, aus denen sich Bedenken gegen die Zuverlässigkeit des Strahlenschutzbeauftragten ergeben,</w:t>
      </w:r>
    </w:p>
    <w:p>
      <w:pPr>
        <w:ind w:left="420"/>
      </w:pPr>
      <w:r>
        <w:t xml:space="preserve">3. gewährleistet ist, dass die Exposition von Personen auf Grund des Betriebs der Anlage die für Einzelpersonen der Bevölkerung zugelassenen Grenzwerte in den allgemein zugänglichen Bereichen außerhalb des Betriebsgeländes nicht überschreitet; bei der Ermittlung der Exposition sind die Ableitung radioaktiver Stoffe mit Luft und Wasser und die austretende und gestreute Strahlung zu berücksichtigen,</w:t>
      </w:r>
    </w:p>
    <w:p>
      <w:pPr>
        <w:ind w:left="420"/>
      </w:pPr>
      <w:r>
        <w:t xml:space="preserve">4. die Vorschriften über den Schutz der Umwelt bei dem beabsichtigten Betrieb der Anlage sowie bei Störfällen eingehalten werden können,</w:t>
      </w:r>
    </w:p>
    <w:p>
      <w:pPr>
        <w:ind w:left="420"/>
      </w:pPr>
      <w:r>
        <w:t xml:space="preserve">5. der erforderliche Schutz gegen Störmaßnahmen oder sonstige Einwirkungen Dritter gewährleistet ist,</w:t>
      </w:r>
    </w:p>
    <w:p>
      <w:pPr>
        <w:ind w:left="420"/>
      </w:pPr>
      <w:r>
        <w:t xml:space="preserve">6. es sich nicht um eine nicht gerechtfertigte Tätigkeitsart nach einer Rechtsverordnung nach § 6 Absatz 3 handelt oder wenn unter Berücksichtigung eines nach § 7 Absatz 2 veröffentlichten Berichts keine erheblichen Zweifel an der Rechtfertigung der Tätigkeitsart bestehen.</w:t>
      </w:r>
    </w:p>
    <w:p>
      <w:r>
        <w:t xml:space="preserve">Satz 1 Nummer 2 ist nicht anzuwenden, wenn eine der in Satz 1 Nummer 1 genannten Personen die erforderliche Fachkunde im Strahlenschutz besitzt und die Anlage entsprechend der Genehmigung errichten oder errichten lassen kann.</w:t>
      </w:r>
    </w:p>
    <w:p>
      <w:r>
        <w:t xml:space="preserve">(2) Leitet die zuständige Behörde ein Verfahren zur Prüfung der Rechtfertigung nach § 7 ein, so setzt sie das Verfahren zur Erteilung der Genehmigung für die Dauer des Verfahrens zur Prüfung der Rechtfertigung aus.</w:t>
      </w:r>
    </w:p>
    <w:p>
      <w:r>
        <w:rPr>
          <w:color w:val="555555"/>
          <w:sz w:val="17"/>
        </w:rPr>
        <w:t xml:space="preserve">Zitiervorschlag: § 11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