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StrlSchG — Überprüfung und Änderung der Notfallpläne</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Notfallpläne des Bundes und der Länder werden regelmäßig unter Berücksichtigung der Erfahrungen aus den Notfallübungen, den Erkenntnissen aus Notfällen im In- oder Ausland sowie den Veränderungen des Standes der Wissenschaft und der Rechtslage überprüft und gegebenenfalls geändert.</w:t>
      </w:r>
    </w:p>
    <w:p>
      <w:r>
        <w:t xml:space="preserve">(2) Die die Notfallpläne ergänzenden Informationen, wie die Kontaktdaten der zuständigen Behörden und mitwirkenden Organisationen oder die Verzeichnisse der geltenden Rechtsvorschriften, werden bei Änderungen aktualisiert und regelmäßig überprüft. Die Stichtage für die Überprüfungen sind in den Notfallplänen festzulegen.</w:t>
      </w:r>
    </w:p>
    <w:p>
      <w:r>
        <w:rPr>
          <w:color w:val="555555"/>
          <w:sz w:val="17"/>
        </w:rPr>
        <w:t xml:space="preserve">Zitiervorschlag: § 103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