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StrlSchG — Notfallübungen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Behörden und Organisationen, die gemäß den Notfallplänen des Bundes und der Länder an der Notfallreaktion beteiligt sind, sowie die nach § 115 Absatz 1 für die Aus- und Fortbildung der Einsatzkräfte Verantwortlichen führen regelmäßig Notfallübungen durch.</w:t>
      </w:r>
    </w:p>
    <w:p>
      <w:r>
        <w:t xml:space="preserve">(2) Die Notfallübungen sind nach Art der Übung, Umfang, Notfallszenarien und Beteiligten angemessen zu differenzieren. Zu erproben und zu üben sind insbesondere</w:t>
      </w:r>
    </w:p>
    <w:p>
      <w:pPr>
        <w:ind w:left="420"/>
      </w:pPr>
      <w:r>
        <w:t xml:space="preserve">1. die organisatorischen Vorkehrungen für die Notfallreaktion und</w:t>
      </w:r>
    </w:p>
    <w:p>
      <w:pPr>
        <w:ind w:left="420"/>
      </w:pPr>
      <w:r>
        <w:t xml:space="preserve">2. entsprechend den Notfallplänen der Informationsaustausch und die Zusammenarbeit der an der Notfallreaktion beteiligten Behörden, Organisationen und Strahlenschutzverantwortlichen bei</w:t>
      </w:r>
    </w:p>
    <w:p>
      <w:pPr>
        <w:ind w:left="780"/>
      </w:pPr>
      <w:r>
        <w:t xml:space="preserve">a) der Lageerfassung und Lagebewertung,</w:t>
      </w:r>
    </w:p>
    <w:p>
      <w:pPr>
        <w:ind w:left="780"/>
      </w:pPr>
      <w:r>
        <w:t xml:space="preserve">b) der Abstimmung der Entscheidungen der zuständigen Behörden und</w:t>
      </w:r>
    </w:p>
    <w:p>
      <w:pPr>
        <w:ind w:left="780"/>
      </w:pPr>
      <w:r>
        <w:t xml:space="preserve">c) der Durchführung von angemessenen Schutzmaßnahmen.</w:t>
      </w:r>
    </w:p>
    <w:p>
      <w:r>
        <w:rPr>
          <w:color w:val="555555"/>
          <w:sz w:val="17"/>
        </w:rPr>
        <w:t xml:space="preserve">Zitiervorschlag: § 102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