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StrlSchG — Externe Notfallpläne für ortsfeste Anlagen oder Einrichtungen mit besonderem Gefahrenpotential</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für den Katastrophenschutz oder für die öffentliche Sicherheit zuständigen Behörden stellen nach Maßgabe ihrer landesrechtlichen Bestimmungen Sonderschutzpläne (externe Notfallpläne) auf für die Umgebung von kerntechnischen Anlagen, Anlagen im Sinne des § 9a Absatz 3 Satz 1 zweiter Satzteil des Atomgesetzes, Anlagen zur Erzeugung ionisierender Strahlung oder Einrichtungen im Sinne des § 5 Absatz 12 dieses Gesetzes, soweit Notfälle in der Anlage oder Einrichtung für eine nicht unerhebliche Personenzahl in der Umgebung der Anlage oder Einrichtung zu schwerwiegenden Gesundheitsbeeinträchtigungen führen können.</w:t>
      </w:r>
    </w:p>
    <w:p>
      <w:r>
        <w:t xml:space="preserve">(2) Die externen Notfallpläne ergänzen und konkretisieren die in den allgemeinen und besonderen Notfallplänen des Bundes und der Länder enthaltenen Planungen. Sie berücksichtigen dabei die örtlichen Gegebenheiten sowie die Verfahren und Vorkehrungen der Strahlenschutzverantwortlichen für den anlageninternen Notfallschutz.</w:t>
      </w:r>
    </w:p>
    <w:p>
      <w:r>
        <w:rPr>
          <w:color w:val="555555"/>
          <w:sz w:val="17"/>
        </w:rPr>
        <w:t xml:space="preserve">Zitiervorschlag: § 101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