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100 StrlSchG — Allgemeine und besondere Notfallpläne der Länder</w:t>
      </w:r>
    </w:p>
    <w:p>
      <w:r>
        <w:rPr>
          <w:color w:val="555555"/>
          <w:sz w:val="18"/>
        </w:rPr>
        <w:t xml:space="preserve">Strahlenschutzgesetz</w:t>
      </w:r>
    </w:p>
    <w:p>
      <w:r>
        <w:rPr>
          <w:color w:val="555555"/>
          <w:sz w:val="18"/>
        </w:rPr>
        <w:t xml:space="preserve">Stand: 10.06.2019 (konsolidierte Textfassung, kein amtliches Inkrafttretensdatum)</w:t>
      </w:r>
    </w:p>
    <w:p>
      <w:r>
        <w:t xml:space="preserve">Die Länder stellen allgemeine und besondere Notfallpläne auf. Diese Notfallpläne der Länder ergänzen und konkretisieren den allgemeinen Notfallplan des Bundes und die besonderen Notfallpläne des Bundes, soweit die Länder für die Planung oder Durchführung von Schutzmaßnahmen zuständig sind.</w:t>
      </w:r>
    </w:p>
    <w:p>
      <w:r>
        <w:rPr>
          <w:color w:val="555555"/>
          <w:sz w:val="17"/>
        </w:rPr>
        <w:t xml:space="preserve">Zitiervorschlag: § 100 StrlSchG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https://recht.nulegal.eu/gesetze/StrlSchG/100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