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StrlSchG — Genehmigungsbedürftige Errichtung von Anlagen zur Erzeugung ionisierender Strahlung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Wer eine Anlage zur Erzeugung ionisierender Strahlung der folgenden Art errichtet, bedarf der Genehmigung:</w:t>
      </w:r>
    </w:p>
    <w:p>
      <w:pPr>
        <w:ind w:left="420"/>
      </w:pPr>
      <w:r>
        <w:t xml:space="preserve">1. Beschleuniger- oder Plasmaanlage, in der je Sekunde mehr als 1012 Neutronen erzeugt werden können,</w:t>
      </w:r>
    </w:p>
    <w:p>
      <w:pPr>
        <w:ind w:left="420"/>
      </w:pPr>
      <w:r>
        <w:t xml:space="preserve">2. Elektronenbeschleuniger mit einer Endenergie der Elektronen von mehr als 10 Megaelektronenvolt, sofern die mittlere Strahlleistung 1 Kilowatt übersteigen kann,</w:t>
      </w:r>
    </w:p>
    <w:p>
      <w:pPr>
        <w:ind w:left="420"/>
      </w:pPr>
      <w:r>
        <w:t xml:space="preserve">3. Elektronenbeschleuniger mit einer Endenergie der Elektronen von mehr als 150 Megaelektronenvolt,</w:t>
      </w:r>
    </w:p>
    <w:p>
      <w:pPr>
        <w:ind w:left="420"/>
      </w:pPr>
      <w:r>
        <w:t xml:space="preserve">4. Ionenbeschleuniger mit einer Endenergie der Ionen von mehr als 10 Megaelektronenvolt je Nukleon, sofern die mittlere Strahlleistung 50 Watt übersteigen kann,</w:t>
      </w:r>
    </w:p>
    <w:p>
      <w:pPr>
        <w:ind w:left="420"/>
      </w:pPr>
      <w:r>
        <w:t xml:space="preserve">5. Ionenbeschleuniger mit einer Endenergie der Ionen von mehr als 150 Megaelektronenvolt je Nukleon.</w:t>
      </w:r>
    </w:p>
    <w:p>
      <w:r>
        <w:t xml:space="preserve">(2) Einer Genehmigung bedarf auch, wer die genehmigungsbedürftige Errichtung einer der in Absatz 1 genannten Anlagen wesentlich ändert.</w:t>
      </w:r>
    </w:p>
    <w:p>
      <w:r>
        <w:rPr>
          <w:color w:val="555555"/>
          <w:sz w:val="17"/>
        </w:rPr>
        <w:t xml:space="preserve">Zitiervorschlag: § 10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