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StreitkrNotWG</w:t>
      </w:r>
    </w:p>
    <w:p>
      <w:r>
        <w:rPr>
          <w:color w:val="555555"/>
          <w:sz w:val="18"/>
        </w:rPr>
        <w:t xml:space="preserve">Gesetz zu den Notenwechseln vom 25. September 1990 und vom 23. September 1991 über die Rechtsstellung der in Deutschland stationierten verbündeten Streitkräfte und zu dem Übereinkommen vom 25. September 1990 zur Regelung bestimmter Fragen in bezug auf Berlin</w:t>
      </w:r>
    </w:p>
    <w:p>
      <w:r>
        <w:rPr>
          <w:color w:val="555555"/>
          <w:sz w:val="18"/>
        </w:rPr>
        <w:t xml:space="preserve">Stand: 10.06.2019 (konsolidierte Textfassung, kein amtliches Inkrafttretensdatum)</w:t>
      </w:r>
    </w:p>
    <w:p>
      <w:r>
        <w:t xml:space="preserve">Die Grundrechte der körperlichen Unversehrtheit (Artikel 2 Abs. 2 Satz 1 des Grundgesetzes), der Freiheit der Person (Artikel 2 Abs. 2 Satz 2 des Grundgesetzes) und der Unverletzlichkeit der Wohnung (Artikel 13 des Grundgesetzes) werden nach Maßgabe der §§ 1 bis 3 eingeschränkt.</w:t>
      </w:r>
    </w:p>
    <w:p>
      <w:r>
        <w:rPr>
          <w:color w:val="555555"/>
          <w:sz w:val="17"/>
        </w:rPr>
        <w:t xml:space="preserve">Zitiervorschlag: § 4 StreitkrNotWG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https://recht.nulegal.eu/gesetze/StreitkrNotWG/4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