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Ansprüche der in Artikel 24 Abs. 1 des Vertrags genannten Art sind zur Vermeidung des Ausschlusses bei der zuständigen deutschen Behörde innerhalb einer Frist von drei Monaten von dem Zeitpunkt an geltend zu machen, in dem der Geschädigte von dem Schaden und von Umständen Kenntnis erlangt hat, aus denen sich ergibt, daß sowjetische Truppen für den Schaden rechtlich verantwortlich sind.</w:t>
      </w:r>
    </w:p>
    <w:p>
      <w:r>
        <w:t xml:space="preserve">(2) Die Frist gilt auch dann als gewahrt, wenn der Anspruch innerhalb der Frist bei einer Dienststelle der sowjetischen Truppen geltend gemacht worden ist, die allgemein für die Behandlung von Entschädigungsansprüchen zuständig ist oder der an dem Schadensfall beteiligte Mitglieder oder Bedienstete der sowjetischen Truppen unterstehen.</w:t>
      </w:r>
    </w:p>
    <w:p>
      <w:r>
        <w:t xml:space="preserve">(3) Auf die Frist sind die Vorschriften der Zivilprozeßordnung über Notfristen entsprechend anzuwenden.</w:t>
      </w:r>
    </w:p>
    <w:p>
      <w:r>
        <w:t xml:space="preserve">(4) Nach Ablauf von zwei Jahren seit dem Zeitpunkt des schädigenden Ereignisses kann der Anspruch nicht mehr geltend gemacht werden. War der Schaden vor Ablauf dieser Frist nicht erkennbar, so beginnt der Lauf der Frist mit dem Zeitpunkt, in dem der Geschädigte von dem Schaden hätte Kenntnis erlangen müssen; § 852 Abs. 1 Halbsatz 2 des Bürgerlichen Gesetzbuches bleibt unberührt.</w:t>
      </w:r>
    </w:p>
    <w:p>
      <w:r>
        <w:rPr>
          <w:color w:val="555555"/>
          <w:sz w:val="17"/>
        </w:rPr>
        <w:t xml:space="preserve">Zitiervorschlag: § 1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