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StrbauMstrV 2009</w:t>
      </w:r>
    </w:p>
    <w:p>
      <w:r>
        <w:rPr>
          <w:color w:val="555555"/>
          <w:sz w:val="18"/>
        </w:rPr>
        <w:t xml:space="preserve">Straßenbauermeisterverordnung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Absatz 1 der Handwerksordnung in der Fassung der Bekanntmachung vom 24. September 1998 (BGBl. I S. 3074; 2006 I S. 2095), der zuletzt durch Artikel 146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StrbauMstrV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https://recht.nulegal.eu/gesetze/StrbauMstrV%202009/eingangsformel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