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StrbauMstrV 2009 — Gliederung des Teils I</w:t>
      </w:r>
    </w:p>
    <w:p>
      <w:r>
        <w:rPr>
          <w:color w:val="555555"/>
          <w:sz w:val="18"/>
        </w:rPr>
        <w:t xml:space="preserve">Straßenbauermeisterverordnung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StrbauMstrV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https://recht.nulegal.eu/gesetze/StrbauMstrV%202009/3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