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StrbauMstrV 2009 — Inkrafttreten, Außerkrafttreten</w:t>
      </w:r>
    </w:p>
    <w:p>
      <w:r>
        <w:rPr>
          <w:color w:val="555555"/>
          <w:sz w:val="18"/>
        </w:rPr>
        <w:t xml:space="preserve">Straßenbauermeisterverordnung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2009 in Kraft.</w:t>
      </w:r>
    </w:p>
    <w:p>
      <w:r>
        <w:rPr>
          <w:color w:val="555555"/>
          <w:sz w:val="17"/>
        </w:rPr>
        <w:t xml:space="preserve">Zitiervorschlag: § 11 StrbauMstrV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https://recht.nulegal.eu/gesetze/StrbauMstrV%202009/11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