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StrbauMstrV 2009 — Übergangsvorschrift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