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StrbauMstrV 2009 — Gliederung und Inhalt der Meisterprüfung</w:t>
      </w:r>
    </w:p>
    <w:p>
      <w:r>
        <w:rPr>
          <w:color w:val="555555"/>
          <w:sz w:val="18"/>
        </w:rPr>
        <w:t xml:space="preserve">Straßenbauermeisterverordnung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zulassungspflichtigen Straßenbauer-Handwerk umfasst folgende selbständige Prüfungsteile:</w:t>
      </w:r>
    </w:p>
    <w:p>
      <w:pPr>
        <w:ind w:left="420"/>
      </w:pPr>
      <w:r>
        <w:t xml:space="preserve">1. die Prüfung der meisterhaften Verrichtung wesentlicher Tätigkeiten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StrbauMstrV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https://recht.nulegal.eu/gesetze/StrbauMstrV%202009/1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