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StrbEG — Berlin-Klausel</w:t>
      </w:r>
    </w:p>
    <w:p>
      <w:r>
        <w:rPr>
          <w:color w:val="555555"/>
          <w:sz w:val="18"/>
        </w:rPr>
        <w:t xml:space="preserve">Gesetz über die strafbefreiende Erklärung von Einkünften aus Kapitalvermögen und von Kapitalvermögen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12 Abs. 1 und des § 13 Abs. 1 des Dritten Überleitungsgesetzes auch im Land Berlin.</w:t>
      </w:r>
    </w:p>
    <w:p>
      <w:r>
        <w:rPr>
          <w:color w:val="555555"/>
          <w:sz w:val="17"/>
        </w:rPr>
        <w:t xml:space="preserve">Zitiervorschlag: § 3 StrbEG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https://recht.nulegal.eu/gesetze/StrbEG/3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