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StrafAktEinV</w:t>
      </w:r>
    </w:p>
    <w:p>
      <w:r>
        <w:rPr>
          <w:color w:val="555555"/>
          <w:sz w:val="18"/>
        </w:rPr>
        <w:t xml:space="preserve">Strafakteneinsichtsverordnung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Auf Grund des § 32f Absatz 6 Satz 1 der Strafprozessordnung, der durch Artikel 1 Nummer 2 des Gesetzes vom 5. Juli 2017 (BGBl. I S. 2208) eingefügt worden ist, verordnet die Bundesregierung:</w:t>
      </w:r>
    </w:p>
    <w:p>
      <w:r>
        <w:rPr>
          <w:color w:val="555555"/>
          <w:sz w:val="17"/>
        </w:rPr>
        <w:t xml:space="preserve">Zitiervorschlag: Eingangsformel StrafAktEinV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https://recht.nulegal.eu/gesetze/StrafAktEinV/eingangsformel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