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StrafAktEinV — Inkrafttreten</w:t>
      </w:r>
    </w:p>
    <w:p>
      <w:r>
        <w:rPr>
          <w:color w:val="555555"/>
          <w:sz w:val="18"/>
        </w:rPr>
        <w:t xml:space="preserve">Strafakteneinsichtsverordnung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StrafAktEinV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https://recht.nulegal.eu/gesetze/StrafAktEinV/9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StrafAktEinV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