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StrafAktEinV — Bekanntmachung</w:t>
      </w:r>
    </w:p>
    <w:p>
      <w:r>
        <w:rPr>
          <w:color w:val="555555"/>
          <w:sz w:val="18"/>
        </w:rPr>
        <w:t xml:space="preserve">Strafakteneinsichtsverordnung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(1) Die Bundesregierung macht folgende technische Anforderungen im Bundesanzeiger und auf der Internetseite www.justiz.de bekannt:</w:t>
      </w:r>
    </w:p>
    <w:p>
      <w:pPr>
        <w:ind w:left="420"/>
      </w:pPr>
      <w:r>
        <w:t xml:space="preserve">1. die Definitions- oder Schemadateien, die bei der Übermittlung eines strukturierten maschinenlesbaren Datensatzes im Format XML genutzt werden sollen;</w:t>
      </w:r>
    </w:p>
    <w:p>
      <w:pPr>
        <w:ind w:left="420"/>
      </w:pPr>
      <w:r>
        <w:t xml:space="preserve">2. die nach § 6 Absatz 1 zulässigen physischen Datenträger.</w:t>
      </w:r>
    </w:p>
    <w:p>
      <w:r>
        <w:t xml:space="preserve">(2) Die technischen Anforderungen können mit einer Mindestgültigkeitsdauer und einem Ablaufdatum versehen werden.</w:t>
      </w:r>
    </w:p>
    <w:p>
      <w:r>
        <w:rPr>
          <w:color w:val="555555"/>
          <w:sz w:val="17"/>
        </w:rPr>
        <w:t xml:space="preserve">Zitiervorschlag: § 8 StrafAktEinV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https://recht.nulegal.eu/gesetze/StrafAktEinV/8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