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7 StrafAktEinV — Belehrung</w:t>
      </w:r>
    </w:p>
    <w:p>
      <w:r>
        <w:rPr>
          <w:color w:val="555555"/>
          <w:sz w:val="18"/>
        </w:rPr>
        <w:t xml:space="preserve">Strafakteneinsichtsverordnung</w:t>
      </w:r>
    </w:p>
    <w:p>
      <w:r>
        <w:rPr>
          <w:color w:val="555555"/>
          <w:sz w:val="18"/>
        </w:rPr>
        <w:t xml:space="preserve">Stand: 01.07.2021 (konsolidierte Textfassung, kein amtliches Inkrafttretensdatum)</w:t>
      </w:r>
    </w:p>
    <w:p>
      <w:r>
        <w:t xml:space="preserve">Die Person, der Akteneinsicht gewährt wird, ist darüber zu belehren, dass</w:t>
      </w:r>
    </w:p>
    <w:p>
      <w:pPr>
        <w:ind w:left="420"/>
      </w:pPr>
      <w:r>
        <w:t xml:space="preserve">1. sämtliche Inhalte, die im Rahmen der Akteneinsicht überlassen werden, weder ganz noch teilweise öffentlich verbreitet oder Dritten zu verfahrensfremden Zwecken übermittelt oder zugänglich gemacht werden dürfen;</w:t>
      </w:r>
    </w:p>
    <w:p>
      <w:pPr>
        <w:ind w:left="420"/>
      </w:pPr>
      <w:r>
        <w:t xml:space="preserve">2. personenbezogene Daten nur zu dem Zweck, für den die Akteneinsicht gewährt wird, verwendet werden dürfen, es sei denn, dass für den Zweck, zu dem die Person, der Akteneinsicht gewährt wird, die Daten verwenden will, ebenfalls Auskunft oder Akteneinsicht gewährt werden dürfte;</w:t>
      </w:r>
    </w:p>
    <w:p>
      <w:pPr>
        <w:ind w:left="420"/>
      </w:pPr>
      <w:r>
        <w:t xml:space="preserve">3. die Offenbarung oder Veröffentlichung von Akteninhalten nach den §§ 94 bis 97, 203, 353d des Strafgesetzbuches oder § 42 des Bundesdatenschutzgesetzes strafbar sein kann;</w:t>
      </w:r>
    </w:p>
    <w:p>
      <w:pPr>
        <w:ind w:left="420"/>
      </w:pPr>
      <w:r>
        <w:t xml:space="preserve">4. der durch einen Abruf gespeicherte Inhalt einschließlich der personenbezogenen Daten zu löschen ist, sobald der Zweck für seine Speicherung weggefallen ist und seine weitere Aufbewahrung und Verarbeitung nicht nach anderen Vorschriften gestattet ist.</w:t>
      </w:r>
    </w:p>
    <w:p>
      <w:r>
        <w:rPr>
          <w:color w:val="555555"/>
          <w:sz w:val="17"/>
        </w:rPr>
        <w:t xml:space="preserve">Zitiervorschlag: § 7 StrafAktEinV</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https://recht.nulegal.eu/gesetze/StrafAktEinV/7</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