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StrafAktEinV — Datenträger</w:t>
      </w:r>
    </w:p>
    <w:p>
      <w:r>
        <w:rPr>
          <w:color w:val="555555"/>
          <w:sz w:val="18"/>
        </w:rPr>
        <w:t xml:space="preserve">Strafakteneinsichtsverordnung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Das Speichern des Inhalts einer elektronischen Akte auf einem physischen Datenträger zum Zwecke der Akteneinsicht erfolgt durch das Speichern ihres Repräsentats auf einem nach § 8 Nummer 2 zulässigen physischen Datenträger.</w:t>
      </w:r>
    </w:p>
    <w:p>
      <w:r>
        <w:t xml:space="preserve">(2) Die Daten sind nach dem Stand der Technik zu verschlüsseln. Das für die Entschlüsselung erforderliche Kennwort darf nicht zusammen mit dem Datenträger übermittelt werden. § 2 Absatz 1 Satz 2 und 3 gilt entsprechend. Die Person, der Akteneinsicht gewährt wird, ist auf das Datum des Stands der elektronischen Akte hinzuweisen.</w:t>
      </w:r>
    </w:p>
    <w:p>
      <w:r>
        <w:rPr>
          <w:color w:val="555555"/>
          <w:sz w:val="17"/>
        </w:rPr>
        <w:t xml:space="preserve">Zitiervorschlag: § 6 StrafAktEinV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https://recht.nulegal.eu/gesetze/StrafAktEinV/6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StrafAktEinV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