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StrafAktEinV — Ausdruck</w:t>
      </w:r>
    </w:p>
    <w:p>
      <w:r>
        <w:rPr>
          <w:color w:val="555555"/>
          <w:sz w:val="18"/>
        </w:rPr>
        <w:t xml:space="preserve">Strafakteneinsichtsverordnung</w:t>
      </w:r>
    </w:p>
    <w:p>
      <w:r>
        <w:rPr>
          <w:color w:val="555555"/>
          <w:sz w:val="18"/>
        </w:rPr>
        <w:t xml:space="preserve">Stand: 01.07.2021 (konsolidierte Textfassung, kein amtliches Inkrafttretensdatum)</w:t>
      </w:r>
    </w:p>
    <w:p>
      <w:r>
        <w:t xml:space="preserve">Das Ausdrucken einer elektronischen Akte zum Zwecke der Akteneinsicht erfolgt durch das Ausdrucken des Repräsentats.</w:t>
      </w:r>
    </w:p>
    <w:p>
      <w:r>
        <w:rPr>
          <w:color w:val="555555"/>
          <w:sz w:val="17"/>
        </w:rPr>
        <w:t xml:space="preserve">Zitiervorschlag: § 5 StrafAktEinV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https://recht.nulegal.eu/gesetze/StrafAktEinV/5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