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StrafAktEinV — Einsichtnahme in Diensträumen</w:t>
      </w:r>
    </w:p>
    <w:p>
      <w:r>
        <w:rPr>
          <w:color w:val="555555"/>
          <w:sz w:val="18"/>
        </w:rPr>
        <w:t xml:space="preserve">Strafakteneinsichtsverordnung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Bei der Einsichtnahme in die elektronische Akte in Diensträumen ist sicherzustellen, dass der Akteninhalt nicht von unbefugten Personen wahrgenommen und nicht verändert werden kann.</w:t>
      </w:r>
    </w:p>
    <w:p>
      <w:r>
        <w:rPr>
          <w:color w:val="555555"/>
          <w:sz w:val="17"/>
        </w:rPr>
        <w:t xml:space="preserve">Zitiervorschlag: § 4 StrafAktEinV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https://recht.nulegal.eu/gesetze/StrafAktEinV/4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