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StrafAktEinV — Übermittlung des Inhalts auf einem sicheren Übermittlungsweg</w:t>
      </w:r>
    </w:p>
    <w:p>
      <w:r>
        <w:rPr>
          <w:color w:val="555555"/>
          <w:sz w:val="18"/>
        </w:rPr>
        <w:t xml:space="preserve">Strafakteneinsichtsverordnung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Einsicht in den Inhalt der elektronischen Akte kann, soweit Einsicht gewährt werden soll, auch durch Übermittlung des Repräsentats auf einem sicheren Übermittlungsweg nach § 32a Absatz 4 der Strafprozessordnung gewährt werden, wenn die Person, der Akteneinsicht gewährt werden soll, über einen entsprechenden Zugang verfügt. § 2 Absatz 1 Satz 2 und 3 gilt entsprechend. Die Person, der Akteneinsicht gewährt wird, ist auf das Datum des Stands der elektronischen Akte hinzuweisen.</w:t>
      </w:r>
    </w:p>
    <w:p>
      <w:r>
        <w:rPr>
          <w:color w:val="555555"/>
          <w:sz w:val="17"/>
        </w:rPr>
        <w:t xml:space="preserve">Zitiervorschlag: § 3 StrafAktEinV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https://recht.nulegal.eu/gesetze/StrafAktEinV/3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StrafAktEinV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