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StrafAktÜbV</w:t>
      </w:r>
    </w:p>
    <w:p>
      <w:r>
        <w:rPr>
          <w:color w:val="555555"/>
          <w:sz w:val="18"/>
        </w:rPr>
        <w:t xml:space="preserve">Strafaktenübermittlungsverordnung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Auf Grund des § 32 Absatz 3 Satz 1 der Strafprozessordnung, der durch Artikel 1 Nummer 2 des Gesetzes vom 5. Juli 2017 (BGBl. I S. 2208) eingefügt worden ist, verordnet die Bundesregierung:</w:t>
      </w:r>
    </w:p>
    <w:p>
      <w:r>
        <w:rPr>
          <w:color w:val="555555"/>
          <w:sz w:val="17"/>
        </w:rPr>
        <w:t xml:space="preserve">Zitiervorschlag: Eingangsformel StrafAktÜbV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https://recht.nulegal.eu/gesetze/StrafAkt%C3%9CbV/eingangsformel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