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StrafAktÜbV — Übermittlung elektronischer Akten</w:t>
      </w:r>
    </w:p>
    <w:p>
      <w:r>
        <w:rPr>
          <w:color w:val="555555"/>
          <w:sz w:val="18"/>
        </w:rPr>
        <w:t xml:space="preserve">Strafaktenübermittlungsverordnung</w:t>
      </w:r>
    </w:p>
    <w:p>
      <w:r>
        <w:rPr>
          <w:color w:val="555555"/>
          <w:sz w:val="18"/>
        </w:rPr>
        <w:t xml:space="preserve">Stand: 21.04.2020 (konsolidierte Textfassung, kein amtliches Inkrafttretensdatum)</w:t>
      </w:r>
    </w:p>
    <w:p>
      <w:r>
        <w:t xml:space="preserve">(1) Elektronische Akten sollen elektronisch übermittelt werden. Dies gilt auch, wenn die empfangende Stelle die Akten noch in Papierform führt.</w:t>
      </w:r>
    </w:p>
    <w:p>
      <w:r>
        <w:t xml:space="preserve">(2) Der elektronischen Akte soll bei der Übermittlung ein strukturierter maschinenlesbarer Datensatz beigefügt werden, der den nach § 6 Absatz 1 Nummer 1 bekanntgemachten Definitions- oder Schemadateien entspricht. Er soll mindestens Folgendes enthalten:</w:t>
      </w:r>
    </w:p>
    <w:p>
      <w:pPr>
        <w:ind w:left="420"/>
      </w:pPr>
      <w:r>
        <w:t xml:space="preserve">1. die Bezeichnung der aktenführenden Strafverfolgungsbehörde oder des Gerichts;</w:t>
      </w:r>
    </w:p>
    <w:p>
      <w:pPr>
        <w:ind w:left="420"/>
      </w:pPr>
      <w:r>
        <w:t xml:space="preserve">2. sofern bekannt, das staatsanwaltschaftliche, finanzbehördliche oder gerichtliche Aktenzeichen des Verfahrens;</w:t>
      </w:r>
    </w:p>
    <w:p>
      <w:pPr>
        <w:ind w:left="420"/>
      </w:pPr>
      <w:r>
        <w:t xml:space="preserve">3. sofern bekannt, Vorgangsnummern zugrunde liegender polizeilicher Ermittlungsvorgänge;</w:t>
      </w:r>
    </w:p>
    <w:p>
      <w:pPr>
        <w:ind w:left="420"/>
      </w:pPr>
      <w:r>
        <w:t xml:space="preserve">4. Tatzeit, Tatort und Tatvorwurf;</w:t>
      </w:r>
    </w:p>
    <w:p>
      <w:pPr>
        <w:ind w:left="420"/>
      </w:pPr>
      <w:r>
        <w:t xml:space="preserve">5. die Bezeichnung der beschuldigten Personen; bei Verfahren gegen Unbekannt anstelle der Bezeichnung der beschuldigten Personen die Angabe „Unbekannt“ sowie, sofern bekannt, die Bezeichnung der geschädigten Personen;</w:t>
      </w:r>
    </w:p>
    <w:p>
      <w:pPr>
        <w:ind w:left="420"/>
      </w:pPr>
      <w:r>
        <w:t xml:space="preserve">6. sofern bekannt, das Aktenzeichen eines denselben Verfahrensgegenstand betreffenden Verfahrens und die Bezeichnung der diese Akten führenden Stelle;</w:t>
      </w:r>
    </w:p>
    <w:p>
      <w:pPr>
        <w:ind w:left="420"/>
      </w:pPr>
      <w:r>
        <w:t xml:space="preserve">7. die Information darüber, ob und in welchem Umfang die Aktenführung oder die Bearbeitungsbefugnis an die empfangende Stelle abgegeben werden sollen oder ob nur ein Repräsentat der elektronischen Akte übersandt wird.</w:t>
      </w:r>
    </w:p>
    <w:p>
      <w:r>
        <w:rPr>
          <w:color w:val="555555"/>
          <w:sz w:val="17"/>
        </w:rPr>
        <w:t xml:space="preserve">Zitiervorschlag: § 2 StrafAktÜbV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https://recht.nulegal.eu/gesetze/StrafAkt%C3%9CbV/2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