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StrabBlPV — Zulassungsvoraussetzungen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Prüfung wird auf Antrag einmalig zugelassen, wer</w:t>
      </w:r>
    </w:p>
    <w:p>
      <w:pPr>
        <w:ind w:left="420"/>
      </w:pPr>
      <w:r>
        <w:t xml:space="preserve">1. ein Studium des Bauingenieurwesens, der Elektrotechnik, des Maschinenbaus oder einer Ingenieurwissenschaft des Verkehrswesens an</w:t>
      </w:r>
    </w:p>
    <w:p>
      <w:pPr>
        <w:ind w:left="780"/>
      </w:pPr>
      <w:r>
        <w:t xml:space="preserve">a) einer deutschen wissenschaftlichen Hochschule,</w:t>
      </w:r>
    </w:p>
    <w:p>
      <w:pPr>
        <w:ind w:left="780"/>
      </w:pPr>
      <w:r>
        <w:t xml:space="preserve">b) einer deutschen staatlichen oder staatlich anerkannten Fachhochschule,</w:t>
      </w:r>
    </w:p>
    <w:p>
      <w:pPr>
        <w:ind w:left="780"/>
      </w:pPr>
      <w:r>
        <w:t xml:space="preserve">c) einer von der zuständigen Stelle des Landes als gleichwertig anerkannten ausländischen Hochschule</w:t>
      </w:r>
    </w:p>
    <w:p>
      <w:pPr>
        <w:ind w:left="420"/>
      </w:pPr>
      <w:r>
        <w:t xml:space="preserve">erfolgreich abgeschlossen hat und</w:t>
      </w:r>
    </w:p>
    <w:p>
      <w:pPr>
        <w:ind w:left="420"/>
      </w:pPr>
      <w:r>
        <w:t xml:space="preserve">2. mindestens drei Jahre in Straßenbahnunternehmen in den für den Bau und Betrieb der Straßenbahn wesentlichen Fachbereichen als Ingenieur tätig gewesen ist; Tätigkeiten bei anderen Stellen als Ingenieur in der Planung, dem Bau, dem Betrieb oder der Überwachung spurgebundener Bahnen können bis zu einem Jahr angerechnet werden.</w:t>
      </w:r>
    </w:p>
    <w:p>
      <w:r>
        <w:rPr>
          <w:color w:val="555555"/>
          <w:sz w:val="17"/>
        </w:rPr>
        <w:t xml:space="preserve">Zitiervorschlag: § 7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