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StrabBlPV — Inkrafttreten und Übergangsvorschriften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neun Monate nach der Verkündung in Kraft.</w:t>
      </w:r>
    </w:p>
    <w:p>
      <w:r>
        <w:t xml:space="preserve">(2)</w:t>
      </w:r>
    </w:p>
    <w:p>
      <w:r>
        <w:t xml:space="preserve">(3) Ist der Kandidat nach § 2 Abs. 3 der Verordnung über die Bestätigung und Prüfung der Betriebsleiter von Straßenbahnbetrieben vom 23. Dezember 1953 zur Prüfung zugelassen worden, hat er die Prüfung nach den bisherigen Vorschriften abzulegen.</w:t>
      </w:r>
    </w:p>
    <w:p>
      <w:r>
        <w:t xml:space="preserve">(4) Hat der Kandidat die Betriebsleiterprüfung nach der im Absatz 3 genannten Verordnung nicht bestanden, hat er die Wiederholungsprüfung nach den bisherigen Vorschriften abzulegen.</w:t>
      </w:r>
    </w:p>
    <w:p>
      <w:r>
        <w:t xml:space="preserve">(5) Hat der Kandidat die nach Absatz 4 durchgeführte Wiederholungsprüfung nach Inkrafttreten dieser Verordnung nicht bestanden, ist eine zweite Wiederholung der Prüfung nur nach § 23 dieser Verordnung zulässig.</w:t>
      </w:r>
    </w:p>
    <w:p>
      <w:r>
        <w:rPr>
          <w:color w:val="555555"/>
          <w:sz w:val="17"/>
        </w:rPr>
        <w:t xml:space="preserve">Zitiervorschlag: § 26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