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StrabBlPV — Prüfungsunterlagen</w:t>
      </w:r>
    </w:p>
    <w:p>
      <w:r>
        <w:rPr>
          <w:color w:val="555555"/>
          <w:sz w:val="18"/>
        </w:rPr>
        <w:t xml:space="preserve">Straßenbahn-Betriebsleiter-Prüfungsverordnung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Antrag ist dem Kandidaten nach Beendigung der Prüfung Einsicht in seine Prüfungsunterlagen zu gewähren.</w:t>
      </w:r>
    </w:p>
    <w:p>
      <w:r>
        <w:t xml:space="preserve">(2) Die Prüfungsunterlagen sind 10 Jahre nach Bekanntgabe des Prüfungsergebnisses aufzubewahren.</w:t>
      </w:r>
    </w:p>
    <w:p>
      <w:r>
        <w:rPr>
          <w:color w:val="555555"/>
          <w:sz w:val="17"/>
        </w:rPr>
        <w:t xml:space="preserve">Zitiervorschlag: § 24 StrabBlPV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https://recht.nulegal.eu/gesetze/StrabBlPV/24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