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StrabBlPV — Mündlicher Teil der Prüfung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mündlichen Teil der Prüfung hat der Kandidat den Nachweis eines umfassenden Fachwissens in den vier Fächern nach § 12 Abs. 4 zu erbringen.</w:t>
      </w:r>
    </w:p>
    <w:p>
      <w:r>
        <w:t xml:space="preserve">(2) Der mündliche Teil der Prüfung soll für jeden Kandidaten in jedem Fach etwa 15 Minuten dauern.</w:t>
      </w:r>
    </w:p>
    <w:p>
      <w:r>
        <w:t xml:space="preserve">(3) Die Leistung des Kandidaten ist in jedem Fach vom Prüfungsausschuß zu bewerten.</w:t>
      </w:r>
    </w:p>
    <w:p>
      <w:r>
        <w:rPr>
          <w:color w:val="555555"/>
          <w:sz w:val="17"/>
        </w:rPr>
        <w:t xml:space="preserve">Zitiervorschlag: § 14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