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StrabBlPV — Errichtung</w:t>
      </w:r>
    </w:p>
    <w:p>
      <w:r>
        <w:rPr>
          <w:color w:val="555555"/>
          <w:sz w:val="18"/>
        </w:rPr>
        <w:t xml:space="preserve">Straßenbahn-Betriebsleiter-Prüfungsverordnung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Prüfung der fachlichen Befähigung zum Betriebsleiter eines Straßenbahnunternehmens wird bei der zuständigen obersten Landesbehörde oder bei der von ihr bestimmten Behörde ein Prüfungsausschuß errichtet.</w:t>
      </w:r>
    </w:p>
    <w:p>
      <w:r>
        <w:t xml:space="preserve">(2) Für den Bereich mehrerer Länder kann durch Vereinbarung ein gemeinsamer Prüfungsausschuß errichtet werden.</w:t>
      </w:r>
    </w:p>
    <w:p>
      <w:r>
        <w:rPr>
          <w:color w:val="555555"/>
          <w:sz w:val="17"/>
        </w:rPr>
        <w:t xml:space="preserve">Zitiervorschlag: § 1 StrabBlPV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https://recht.nulegal.eu/gesetze/StrabBlPV/1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