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StrabBO 1987 — (zu § 20 Absatz 5 Nummer 1) Kennzeichnung und Sicherung von Bahnübergängen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1987, Nr 58, Anlageband S. 2)</w:t>
      </w:r>
    </w:p>
    <w:p>
      <w:r>
        <w:rPr>
          <w:rFonts w:ascii="Courier New" w:hAnsi="Courier New"/>
          <w:sz w:val="17"/>
        </w:rPr>
        <w:t xml:space="preserve">[Abbildung]    Bild 1 AndreaskreuzDer Blitzpfeil in der Mitte des Andreaskreuzes zeigt an, daß die Strecke elektrische Fahrleitung hat</w:t>
      </w:r>
    </w:p>
    <w:p>
      <w:r>
        <w:rPr>
          <w:rFonts w:ascii="Courier New" w:hAnsi="Courier New"/>
          <w:sz w:val="17"/>
        </w:rPr>
        <w:t xml:space="preserve">[Abbildung]    Bild 2 LichtzeichenBei beengten Verhältnissen darf das Andreaskreuz neben oder über dem Lichtzeichen angebracht sein</w:t>
      </w:r>
    </w:p>
    <w:p>
      <w:r>
        <w:rPr>
          <w:rFonts w:ascii="Courier New" w:hAnsi="Courier New"/>
          <w:sz w:val="17"/>
        </w:rPr>
        <w:t xml:space="preserve">[Abbildung]    Bild 3 Lichtzeichen mit HalbschrankeBei beengten Verhältnissen gelten die Angaben zu Bild 2 entsprechend.Die Halbschranke darf auch senkrecht gestreift sein.</w:t>
      </w:r>
    </w:p>
    <w:p>
      <w:r>
        <w:rPr>
          <w:color w:val="555555"/>
          <w:sz w:val="17"/>
        </w:rPr>
        <w:t xml:space="preserve">Zitiervorschlag: Anlage 1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StrabBO 1987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