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StrabBO 1987 — Betriebsleiter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Betriebsleiter ist für die sichere und ordnungsgemäße Durchführung des Betriebs insgesamt verantwortlich.</w:t>
      </w:r>
    </w:p>
    <w:p>
      <w:r>
        <w:t xml:space="preserve">(2) Der Betriebsleiter hat zu den Vorschriften dieser Verordnung entsprechend den jeweiligen betrieblichen Erfordernissen Dienstanweisungen für Betriebsbedienstete aufzustellen und ihre Einhaltung sicherzustellen.</w:t>
      </w:r>
    </w:p>
    <w:p>
      <w:r>
        <w:t xml:space="preserve">(3) Der Betriebsleiter hat seine Dienstanweisungen der Technischen Aufsichtsbehörde zur Kenntnis zu bringen.</w:t>
      </w:r>
    </w:p>
    <w:p>
      <w:r>
        <w:t xml:space="preserve">(4) Der Betriebsleiter hat den Aufsichtsbehörden unverzüglich zu melden</w:t>
      </w:r>
    </w:p>
    <w:p>
      <w:pPr>
        <w:ind w:left="420"/>
      </w:pPr>
      <w:r>
        <w:t xml:space="preserve">1. Unfälle, bei denen ein Mensch getötet oder schwer verletzt worden ist oder Betriebsanlagen oder Fahrzeuge erheblich beschädigt worden sind,</w:t>
      </w:r>
    </w:p>
    <w:p>
      <w:pPr>
        <w:ind w:left="420"/>
      </w:pPr>
      <w:r>
        <w:t xml:space="preserve">2. Betriebsvorkommnisse, die öffentliches Aufsehen erregen.</w:t>
      </w:r>
    </w:p>
    <w:p>
      <w:r>
        <w:t xml:space="preserve">(5) Bei einem gemeinsamen Betrieb mehrerer Unternehmen auf einer Strecke obliegen die Berichtspflichten nach Absatz 4 dem für die jeweilige Strecke verantwortlichen Betriebsleiter.</w:t>
      </w:r>
    </w:p>
    <w:p>
      <w:r>
        <w:t xml:space="preserve">(6) Stellvertreter dürfen als Betriebsleiter außer in Notfällen nur nach schriftlicher Dienstübergabe tätig werden.</w:t>
      </w:r>
    </w:p>
    <w:p>
      <w:r>
        <w:rPr>
          <w:color w:val="555555"/>
          <w:sz w:val="17"/>
        </w:rPr>
        <w:t xml:space="preserve">Zitiervorschlag: § 8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