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StrabBO 1987 — Betriebsgefährdende oder betriebsstörende Handlungen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Es ist verboten, Betriebsanlagen oder Fahrzeuge zu beschädigen, vorsätzlich zu verunreinigen, ihre Einrichtungen missbräuchlich zu betätigen oder zu nutzen, Fahrthindernisse zu errichten oder andere betriebsgefährdende Handlungen vorzunehmen. Dazu ist es insbesondere untersagt,</w:t>
      </w:r>
    </w:p>
    <w:p>
      <w:pPr>
        <w:ind w:left="420"/>
      </w:pPr>
      <w:r>
        <w:t xml:space="preserve">1. Außentüren oder Einrichtungen zur Notbremsung von Fahrzeugen missbräuchlich zu betätigen und</w:t>
      </w:r>
    </w:p>
    <w:p>
      <w:pPr>
        <w:ind w:left="420"/>
      </w:pPr>
      <w:r>
        <w:t xml:space="preserve">2. in den für den Aufenthalt und die Abfertigung der Fahrgäste bestimmten unterirdischen Anlagen sowie unter den überdachten Bereichen oberirdischer Haltestellen mit Ausnahme von Fahrgastunterständen zu rauchen, ein offenes Feuer zu entfachen oder brennende oder glimmende Gegenstände wegzuwerfen.</w:t>
      </w:r>
    </w:p>
    <w:p>
      <w:r>
        <w:rPr>
          <w:color w:val="555555"/>
          <w:sz w:val="17"/>
        </w:rPr>
        <w:t xml:space="preserve">Zitiervorschlag: § 59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