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StrabBO 1987 — Ausrüstung für Notfälle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Personenfahrzeuge sowie Betriebsfahrzeuge mit eigenem Antrieb müssen mindestens je einen Verbandkasten, einen tragbaren Feuerlöscher und, soweit sie am öffentlichen Straßenverkehr teilnehmen, ein Warndreieck und eine Warnweste mitführen. § 53a Absatz 1 der Straßenverkehrs-Zulassungs-Ordnung ist entsprechend anzuwenden.</w:t>
      </w:r>
    </w:p>
    <w:p>
      <w:r>
        <w:t xml:space="preserve">(2) Bei Fahrzeugen unabhängiger Bahnen kann auf das Mitführen von Verbandkästen verzichtet werden, wenn diese auf den Haltestellen in ausreichender Anzahl vorhanden sind.</w:t>
      </w:r>
    </w:p>
    <w:p>
      <w:r>
        <w:rPr>
          <w:color w:val="555555"/>
          <w:sz w:val="17"/>
        </w:rPr>
        <w:t xml:space="preserve">Zitiervorschlag: § 48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