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StrabBO 1987 — Innenbeleuchtung, Heizung und Lüftung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Fahrgasträume müssen eine ausreichende Innenbeleuchtung haben. Sie darf von Fahrgästen nicht ausgeschaltet werden können.</w:t>
      </w:r>
    </w:p>
    <w:p>
      <w:r>
        <w:t xml:space="preserve">(2) Durch die Innenbeleuchtung darf die Sicht des Fahrzeugführers nicht erheblich beeinträchtigt werden.</w:t>
      </w:r>
    </w:p>
    <w:p>
      <w:r>
        <w:t xml:space="preserve">(3) Trittstufenbereiche von Personenfahrzeugen müssen so ausgeleuchtet werden können, daß die Stufen gut erkennbar sind.</w:t>
      </w:r>
    </w:p>
    <w:p>
      <w:r>
        <w:t xml:space="preserve">(4) Personenfahrzeuge müssen eine Hilfsbeleuchtung haben, die bei Ausfall der Regelbeleuchtung mindestens die Bereiche von Türen und Notausstiegen ausreichend beleuchtet.</w:t>
      </w:r>
    </w:p>
    <w:p>
      <w:r>
        <w:t xml:space="preserve">(5) Fahrgasträume und Fahrzeugführerplätze müssen ausreichend beheizt und belüftet werden können.</w:t>
      </w:r>
    </w:p>
    <w:p>
      <w:r>
        <w:rPr>
          <w:color w:val="555555"/>
          <w:sz w:val="17"/>
        </w:rPr>
        <w:t xml:space="preserve">Zitiervorschlag: § 45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