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StrabBO 1987 — Kupplungseinrichtungen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Kupplungseinrichtungen von Fahrzeugen, die im Zugverband betrieben werden sollen, müssen nach Bauart und Abmessung aufeinander abgestimmt sein.</w:t>
      </w:r>
    </w:p>
    <w:p>
      <w:r>
        <w:t xml:space="preserve">(2) Bei selbsttätigen Kupplungseinrichtungen muß das ordnungsgemäße Einlaufen und Verriegeln der Kupplung erkennbar sein.</w:t>
      </w:r>
    </w:p>
    <w:p>
      <w:r>
        <w:rPr>
          <w:color w:val="555555"/>
          <w:sz w:val="17"/>
        </w:rPr>
        <w:t xml:space="preserve">Zitiervorschlag: § 42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