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StrabBO 1987 — Bahnräumer und Schienenräumer</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Fahrzeuge müssen vor dem in Fahrtrichtung ersten Radsatz Bahnräumer oder Schienenräumer haben, die eine durch Hindernisse hervorgerufene Entgleisungsgefahr vermindern. Sie müssen möglichst dicht vor den Rädern angeordnet sein und einen möglichst geringen Abstand von der Schienenoberkante haben.</w:t>
      </w:r>
    </w:p>
    <w:p>
      <w:r>
        <w:t xml:space="preserve">(2) Bei Fahrzeugen straßenabhängiger Bahnen müssen Bahnräumer oder Schienenräumer auch eine Entgleisungsgefahr vermindern, die durch seitlich auf das Gleis gelangende Hindernisse hervorgerufen werden kann.</w:t>
      </w:r>
    </w:p>
    <w:p>
      <w:r>
        <w:t xml:space="preserve">(3) Bahnräumer oder Schienenräumer sind entbehrlich, wenn deren Aufgaben andere Einrichtungen des Fahrzeugs mitübernehmen können.</w:t>
      </w:r>
    </w:p>
    <w:p>
      <w:r>
        <w:rPr>
          <w:color w:val="555555"/>
          <w:sz w:val="17"/>
        </w:rPr>
        <w:t xml:space="preserve">Zitiervorschlag: § 41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