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StrabBO 1987 — Allgemeine Anforderungen an den Betrieb</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Betriebsbedienstete sind in der für einen sicheren und ordnungsgemäßen Betrieb erforderlichen Anzahl einzusetzen.</w:t>
      </w:r>
    </w:p>
    <w:p>
      <w:r>
        <w:t xml:space="preserve">(2) Betriebsanlagen und Fahrzeuge sind instandzuhalten. Treten an ihnen während des Betriebes Mängel auf, die die Betriebssicherheit beeinträchtigen können, sind sie ganz oder teilweise außer Betrieb zu nehmen und erforderlichenfalls abzusichern.</w:t>
      </w:r>
    </w:p>
    <w:p>
      <w:r>
        <w:t xml:space="preserve">(3) Den Betrieb gefährdende oder störende Umstände sind, sofern sie nicht durch selbsttätige Einrichtungen der zuständigen Betriebsstelle angezeigt werden, dieser nach Feststellung unverzüglich zu melden.</w:t>
      </w:r>
    </w:p>
    <w:p>
      <w:r>
        <w:t xml:space="preserve">(4) Durch betriebliche Vorkehrungen ist dafür zu sorgen, dass Betriebsstörungen zügig beseitigt werden, bei Unfällen und gefährlichen Ereignissen unverzüglich Hilfe geleistet wird und insbesondere bei Brandfällen die Möglichkeit zur Selbst- oder Fremdrettung von Personen oder eine Kombination von beidem in Abhängigkeit von den lokalen Verhältnissen besteht.</w:t>
      </w:r>
    </w:p>
    <w:p>
      <w:r>
        <w:t xml:space="preserve">(5) Der Unternehmer hat Aufzeichnungen zu führen über</w:t>
      </w:r>
    </w:p>
    <w:p>
      <w:pPr>
        <w:ind w:left="420"/>
      </w:pPr>
      <w:r>
        <w:t xml:space="preserve">1. die im Sechsten Abschnitt geregelten betrieblichen Sachverhalte,</w:t>
      </w:r>
    </w:p>
    <w:p>
      <w:pPr>
        <w:ind w:left="420"/>
      </w:pPr>
      <w:r>
        <w:t xml:space="preserve">2. die mittels nachrichtentechnischer Anlagen nach § 23 geführte sicherheitsrelevante Kommunikation mit Betriebsstellen und</w:t>
      </w:r>
    </w:p>
    <w:p>
      <w:pPr>
        <w:ind w:left="420"/>
      </w:pPr>
      <w:r>
        <w:t xml:space="preserve">3. die Fahrdaten der in § 33 Absatz 13 genannten Geräte,</w:t>
      </w:r>
    </w:p>
    <w:p>
      <w:r>
        <w:t xml:space="preserve">und ist befugt, die in den Nummern 1 bis 3 genannten Daten zu erheben, zu speichern und zu verwenden, soweit dies erforderlich ist, um den Betrieb sicher führen zu können, den Zustand und die Instandhaltung der Anlagen und Fahrzeuge zu dokumentieren und die Ursachen gefährlicher Ereignisse aufklären zu können. Der Unternehmer ist außerdem befugt, der Technischen Aufsichtsbehörde aus den in Satz 1 genannten Daten die für deren Aufgabenerfüllung erforderlichen Auskünfte zu übermitteln. Soweit es sich um personenbezogene Daten handelt, sind diese nach spätestens 96 Stunden zu löschen, es sei denn, ihre Kenntnis ist für die Erfüllung des Zwecks der in Satz 1 genannten Speicherung weiterhin erforderlich.</w:t>
      </w:r>
    </w:p>
    <w:p>
      <w:r>
        <w:rPr>
          <w:color w:val="555555"/>
          <w:sz w:val="17"/>
        </w:rPr>
        <w:t xml:space="preserve">Zitiervorschlag: § 4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