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StrabBO 1987 — Fahrsteuerung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Steuerung von Antrieben und Bremsen muß so gebaut sein, daß</w:t>
      </w:r>
    </w:p>
    <w:p>
      <w:pPr>
        <w:ind w:left="420"/>
      </w:pPr>
      <w:r>
        <w:t xml:space="preserve">1. Bremsbefehle gegenüber Fahrbefehlen vorrangig ausgeführt werden,</w:t>
      </w:r>
    </w:p>
    <w:p>
      <w:pPr>
        <w:ind w:left="420"/>
      </w:pPr>
      <w:r>
        <w:t xml:space="preserve">2. Antriebskräfte und Bremskräfte sich mit möglichst geringem Ruck ändern,</w:t>
      </w:r>
    </w:p>
    <w:p>
      <w:pPr>
        <w:ind w:left="420"/>
      </w:pPr>
      <w:r>
        <w:t xml:space="preserve">3. bei Fahrbetrieb ohne Fahrzeugführer die Ausführung der Bremsbefehle überwacht wird.</w:t>
      </w:r>
    </w:p>
    <w:p>
      <w:r>
        <w:t xml:space="preserve">(2) Personenfahrzeuge müssen eine Sicherheitsfahrschaltung haben, die bei Ausfall des Fahrzeugführers eine Bremsung bis zum Stillstand bewirkt.</w:t>
      </w:r>
    </w:p>
    <w:p>
      <w:r>
        <w:t xml:space="preserve">(3) Personenfahrzeuge, die auf Strecken mit Zugsicherungsanlagen nach § 22 betrieben werden, müssen mit den diese ergänzenden Zugsicherungseinrichtungen ausgerüstet sein.</w:t>
      </w:r>
    </w:p>
    <w:p>
      <w:r>
        <w:rPr>
          <w:color w:val="555555"/>
          <w:sz w:val="17"/>
        </w:rPr>
        <w:t xml:space="preserve">Zitiervorschlag: § 38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