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StrabBO 1987 — Antrieb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Fahrmotoren, Getriebe und sonstige Bauteile zur Kraftübertragung müssen unter Berücksichtigung der Streckenverhältnisse, der Zugzusammensetzungen und der Fahrgeschwindigkeiten für die größten betrieblich vorkommenden Antriebs- und Bremskräfte bemessen sein. Dabei sind insbesondere die Beanspruchungen</w:t>
      </w:r>
    </w:p>
    <w:p>
      <w:pPr>
        <w:ind w:left="420"/>
      </w:pPr>
      <w:r>
        <w:t xml:space="preserve">1. beim generatorischen Bremsen,</w:t>
      </w:r>
    </w:p>
    <w:p>
      <w:pPr>
        <w:ind w:left="420"/>
      </w:pPr>
      <w:r>
        <w:t xml:space="preserve">2. beim Schleudern sowie Überbremsen,</w:t>
      </w:r>
    </w:p>
    <w:p>
      <w:pPr>
        <w:ind w:left="420"/>
      </w:pPr>
      <w:r>
        <w:t xml:space="preserve">3. bei stoßartigen Änderungen der Fahrleitungsspannung</w:t>
      </w:r>
    </w:p>
    <w:p>
      <w:r>
        <w:t xml:space="preserve">zu beachten.</w:t>
      </w:r>
    </w:p>
    <w:p>
      <w:r>
        <w:rPr>
          <w:color w:val="555555"/>
          <w:sz w:val="17"/>
        </w:rPr>
        <w:t xml:space="preserve">Zitiervorschlag: § 37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