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StrabBO 1987 — Fahrwerke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Die für die Laufeigenschaften wesentlichen Fahrzeugmaße und Gleismaße müssen so aufeinander abgestimmt sein, daß bei den jeweils zulässigen Geschwindigkeiten auch im zulässigen Abnutzungszustand der Bauteile eine sichere Spurführung sowie größtmögliche Laufruhe erhalten bleiben.</w:t>
      </w:r>
    </w:p>
    <w:p>
      <w:r>
        <w:t xml:space="preserve">(2) Die Forderung des Absatzes 1 gilt auch für die Kennwerte von Federung und Dämpfung der Fahrzeuge und des Gleises.</w:t>
      </w:r>
    </w:p>
    <w:p>
      <w:r>
        <w:t xml:space="preserve">(3) Die sichere Spurführung muß auch bei Schäden an Federung oder Dämpfung der Fahrzeuge erhalten bleiben.</w:t>
      </w:r>
    </w:p>
    <w:p>
      <w:r>
        <w:rPr>
          <w:color w:val="555555"/>
          <w:sz w:val="17"/>
        </w:rPr>
        <w:t xml:space="preserve">Zitiervorschlag: § 35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