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StrabBO 1987 — Rückleitungen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Rückleitungen müssen elektrisch und mechanisch zuverlässig sein; Verbindungen der als Rückleitung dienenden Betriebsmittel dürfen nur durch Werkzeug lösbar sein.</w:t>
      </w:r>
    </w:p>
    <w:p>
      <w:r>
        <w:t xml:space="preserve">(2) Jedes Unterwerk muß über mindestens zwei Rückleiter mit den Fahrschienen verbunden sein. Bei Ausfall eines Rückleiters dürfen die anderen nicht unzulässig belastet werden.</w:t>
      </w:r>
    </w:p>
    <w:p>
      <w:r>
        <w:t xml:space="preserve">(3) Gegen die Gefahren durch Berührungsspannungen aus dem Schienenpotential müssen Maßnahmen getroffen sein.</w:t>
      </w:r>
    </w:p>
    <w:p>
      <w:r>
        <w:rPr>
          <w:color w:val="555555"/>
          <w:sz w:val="17"/>
        </w:rPr>
        <w:t xml:space="preserve">Zitiervorschlag: § 26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