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StrabBO 1987 — Fahrleitungsanlagen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Betriebsmäßig unter Spannung stehende Teile der Fahrleitungsanlage müssen mindestens einen teilweisen Schutz gegen direktes Berühren haben. Dies gilt entsprechend für den Bereich, den ein unter Spannung stehender Stromabnehmer erreichen kann.</w:t>
      </w:r>
    </w:p>
    <w:p>
      <w:r>
        <w:t xml:space="preserve">(2) Im Verkehrsraum öffentlicher Straßen und auf Bahnübergängen müssen Fahrleitungsanlagen eine ausreichende Durchfahrthöhe für den Straßenverkehr freilassen. Diese Forderung gilt für Nennspannungen bis 1000 V bei Wechselspannung und bis 1500 V bei Gleichspannung als erfüllt, wenn die lichte Höhe zwischen Fahrbahnoberkante und darüber liegenden Teilen der Fahrleitungsanlage mindestens 4,7 m beträgt. Diese Höhe kann unter Bauwerken sowie unmittelbar davor und dahinter bis auf 4,2 m verringert werden; auf die Höheneinschränkung ist durch Zeichen 265 der Straßenverkehrs-Ordnung und Warnschilder mit Blitzpfeil hinzuweisen. Als zulässige Höhe ist auf dem Zeichen 265 die vorhandene lichte Höhe abzüglich eines Sicherheitsabstandes von 0,2 m anzugeben.</w:t>
      </w:r>
    </w:p>
    <w:p>
      <w:r>
        <w:t xml:space="preserve">(3) Fahrleitungen müssen in einzeln abschaltbare Speiseabschnitte unterteilt sein.</w:t>
      </w:r>
    </w:p>
    <w:p>
      <w:r>
        <w:t xml:space="preserve">(4) Fahrleitungen müssen einen Überspannungsschutz haben, wenn in ihnen gefährdende Überspannungen auftreten können.</w:t>
      </w:r>
    </w:p>
    <w:p>
      <w:r>
        <w:t xml:space="preserve">(5) Gegen Spannungsverschleppung durch Bruch eines Fahrdrahtes oder durch Entgleisung oder Bruch eines Stromabnehmers müssen Maßnahmen getroffen sein.</w:t>
      </w:r>
    </w:p>
    <w:p>
      <w:r>
        <w:t xml:space="preserve">(6) Fahrdrähte dürfen höchstens bis zu einem Restquerschnitt von 60 vom Hundert ihres Nennquerschnittes abgenutzt sein.</w:t>
      </w:r>
    </w:p>
    <w:p>
      <w:r>
        <w:t xml:space="preserve">(7) Schleifleiter mit Schutzleiterfunktion und an diese angeschlossene Leitungen müssen elektrisch und mechanisch zuverlässig sein; Verbindungen dürfen nur durch Werkzeug lösbar sein.</w:t>
      </w:r>
    </w:p>
    <w:p>
      <w:r>
        <w:rPr>
          <w:color w:val="555555"/>
          <w:sz w:val="17"/>
        </w:rPr>
        <w:t xml:space="preserve">Zitiervorschlag: § 25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