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StrabBO 1987 — Signalanlagen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Signalanlagen müssen so gebaut sein, daß sie die für sie bestimmten Aufträge eindeutig erfassen, bestimmungsgemäß verarbeiten und durch Geber als Signale abgeben.</w:t>
      </w:r>
    </w:p>
    <w:p>
      <w:r>
        <w:t xml:space="preserve">(2) Signalanlagen für Hauptsignale und Vorankündigungssignale nach Anlage 4 Nr. 1 und 2 müssen in Zugsicherungsanlagen nach § 22 eingebunden sein.</w:t>
      </w:r>
    </w:p>
    <w:p>
      <w:r>
        <w:t xml:space="preserve">(3) Signalanlagen für Fahrsignale nach Anlage 4 Nr. 3 müssen im betriebsbedingt notwendigen Umfang vorhanden sein, insbesondere an Stellen, an denen</w:t>
      </w:r>
    </w:p>
    <w:p>
      <w:pPr>
        <w:ind w:left="420"/>
      </w:pPr>
      <w:r>
        <w:t xml:space="preserve">1. Fahrzeugführer Aufträge erhalten sollen, die von den Anordnungen der Wechsellichtzeichen des Straßenverkehrs abweichen,</w:t>
      </w:r>
    </w:p>
    <w:p>
      <w:pPr>
        <w:ind w:left="420"/>
      </w:pPr>
      <w:r>
        <w:t xml:space="preserve">2. eingleisige Streckenabschnitte im Zweirichtungsbetrieb befahren werden; dabei müssen die Fahrsignale so geschaltet sein, daß der Abschnitt jeweils nur für eine Richtung freigegeben und die freigegebene Richtung nur bei unbesetztem Abschnitt gewechselt werden kann.</w:t>
      </w:r>
    </w:p>
    <w:p>
      <w:r>
        <w:t xml:space="preserve">(4) Sind Fahrsignalanlagen in Wechsellichtzeichenanlagen nach § 37 der Straßenverkehrs-Ordnung eingebunden, muß in allen Teilen der Gesamtanlage die gleiche Sicherungsmaßnahme angewendet sein. Sind Weichen in die Signalanlage für Fahrsignale eingebunden, gehören sie zur Gesamtanlage.</w:t>
      </w:r>
    </w:p>
    <w:p>
      <w:r>
        <w:rPr>
          <w:color w:val="555555"/>
          <w:sz w:val="17"/>
        </w:rPr>
        <w:t xml:space="preserve">Zitiervorschlag: § 21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