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StrabBO 1987 — Grundregeln</w:t>
      </w:r>
    </w:p>
    <w:p>
      <w:r>
        <w:rPr>
          <w:color w:val="555555"/>
          <w:sz w:val="18"/>
        </w:rPr>
        <w:t xml:space="preserve">Straßenbahn-Bau- und Betriebsordnung</w:t>
      </w:r>
    </w:p>
    <w:p>
      <w:r>
        <w:rPr>
          <w:color w:val="555555"/>
          <w:sz w:val="18"/>
        </w:rPr>
        <w:t xml:space="preserve">Stand: 09.10.2019 (konsolidierte Textfassung, kein amtliches Inkrafttretensdatum)</w:t>
      </w:r>
    </w:p>
    <w:p>
      <w:r>
        <w:t xml:space="preserve">(1) Betriebsanlagen, Fahrzeuge oder Teile davon müssen so beschaffen sein, dass sie den Anforderungen der Sicherheit und Ordnung genügen. Die Anforderungen an Betriebsanlagen, Fahrzeuge oder Teile davon gelten als erfüllt,</w:t>
      </w:r>
    </w:p>
    <w:p>
      <w:pPr>
        <w:ind w:left="420"/>
      </w:pPr>
      <w:r>
        <w:t xml:space="preserve">1. wenn die Betriebsanlagen, Fahrzeuge oder Teile davon hinsichtlich ihrer Beschaffenheit den für sie unmittelbar geltenden Rechtsakten der Europäischen Gemeinschaft oder der Europäischen Union und den für sie geltenden Rechtsvorschriften, mit denen Richtlinien der Europäischen Gemeinschaft oder der Europäischen Union in deutsches Recht umgesetzt sind, entsprechen, oder</w:t>
      </w:r>
    </w:p>
    <w:p>
      <w:pPr>
        <w:ind w:left="420"/>
      </w:pPr>
      <w:r>
        <w:t xml:space="preserve">2. soweit solche Rechtsvorschriften nicht bestehen, wenn die Betriebsanlagen, Fahrzeuge oder Teile davon nach den Vorschriften dieser Verordnung, nach den von der Technischen Aufsichtsbehörde und von der Genehmigungsbehörde getroffenen Anordnungen sowie nach den allgemein anerkannten Regeln der Technik gebaut sind und betrieben werden.</w:t>
      </w:r>
    </w:p>
    <w:p>
      <w:r>
        <w:t xml:space="preserve">§ 1 Absatz 1 Satz 3 bis 5 bleiben unberührt.</w:t>
      </w:r>
    </w:p>
    <w:p>
      <w:r>
        <w:t xml:space="preserve">(2) Von den allgemein anerkannten Regeln der Technik kann abgewichen werden, wenn mindestens die gleiche Sicherheit gegenüber der Technischen Aufsichtsbehörde nachgewiesen wird.</w:t>
      </w:r>
    </w:p>
    <w:p>
      <w:r>
        <w:rPr>
          <w:color w:val="555555"/>
          <w:sz w:val="17"/>
        </w:rPr>
        <w:t xml:space="preserve">Zitiervorschlag: § 2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