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StrabBO 1987 — Oberbau</w:t>
      </w:r>
    </w:p>
    <w:p>
      <w:r>
        <w:rPr>
          <w:color w:val="555555"/>
          <w:sz w:val="18"/>
        </w:rPr>
        <w:t xml:space="preserve">Straßenbahn-Bau- und Betriebsordnung</w:t>
      </w:r>
    </w:p>
    <w:p>
      <w:r>
        <w:rPr>
          <w:color w:val="555555"/>
          <w:sz w:val="18"/>
        </w:rPr>
        <w:t xml:space="preserve">Stand: 10.06.2019 (konsolidierte Textfassung, kein amtliches Inkrafttretensdatum)</w:t>
      </w:r>
    </w:p>
    <w:p>
      <w:r>
        <w:t xml:space="preserve">(1) Der Oberbau muß die vom maßgebenden Lastenzug bei der Streckenhöchstgeschwindigkeit ausgeübten statischen und dynamischen Kräfte ohne bleibende Verformung aufnehmen können.</w:t>
      </w:r>
    </w:p>
    <w:p>
      <w:r>
        <w:t xml:space="preserve">(2) Gleismaße und Fahrzeugmaße müssen so aufeinander abgestimmt sein, daß bei den jeweils zulässigen Geschwindigkeiten auch im zulässigen Abnutzungszustand der Bauteile eine sichere Spurführung sowie größtmögliche Laufruhe erhalten bleiben.</w:t>
      </w:r>
    </w:p>
    <w:p>
      <w:r>
        <w:t xml:space="preserve">(3) Bogenhalbmesser von Streckengleisen mit unabhängigem Bahnkörper sollen mindestens so groß sein, daß in den Gleisbogen keine Beschränkungen der Streckenhöchstgeschwindigkeit notwendig sind.</w:t>
      </w:r>
    </w:p>
    <w:p>
      <w:r>
        <w:t xml:space="preserve">(4) Gleisbogen sollen so angelegt sein, daß die bei den zulässigen Geschwindigkeiten auftretenden, nicht ausgeglichenen Querbeschleunigungen und deren Änderung je Zeiteinheit möglichst gering sind. Soweit erforderlich müssen Überhöhungen, Überhöhungsrampen und Übergangsbogen vorhanden sein.</w:t>
      </w:r>
    </w:p>
    <w:p>
      <w:r>
        <w:t xml:space="preserve">(5) Die Längsneigungen der Gleise und die Zug- und Bremskräfte der Züge müssen so aufeinander abgestimmt sein, daß</w:t>
      </w:r>
    </w:p>
    <w:p>
      <w:pPr>
        <w:ind w:left="420"/>
      </w:pPr>
      <w:r>
        <w:t xml:space="preserve">1. die Züge auch unter ungünstigen Betriebsverhältnissen sicher zum Halten gebracht werden können,</w:t>
      </w:r>
    </w:p>
    <w:p>
      <w:pPr>
        <w:ind w:left="420"/>
      </w:pPr>
      <w:r>
        <w:t xml:space="preserve">2. ein liegengebliebener Zug von einem anderen fortbewegt werden kann.</w:t>
      </w:r>
    </w:p>
    <w:p>
      <w:r>
        <w:t xml:space="preserve">(6) Fernstellbare Weichen müssen gegen Umstellen gesichert sein, solange ihre beweglichen Teile von einem Zug besetzt sind.</w:t>
      </w:r>
    </w:p>
    <w:p>
      <w:r>
        <w:t xml:space="preserve">(7) Eine Weiche ist verschlossen, wenn die beweglichen befahrenen Teile in ihren Endlagen formschlüssig festgelegt und die nicht befahrenen beweglichen Teile in ihren Endlagen mindestens kraftschlüssig festgelegt sind.</w:t>
      </w:r>
    </w:p>
    <w:p>
      <w:r>
        <w:t xml:space="preserve">(8) Werden Weichen durch Fahrzeugeinrichtungen gestellt, darf der Stellvorgang nicht von der Stromaufnahme des Fahrzeugantriebs abhängig sein.</w:t>
      </w:r>
    </w:p>
    <w:p>
      <w:r>
        <w:t xml:space="preserve">(9) Abschlüsse an Gleisenden müssen gekennzeichnet und so gestaltet sein, daß sie den betrieblichen Erfordernissen genügen.</w:t>
      </w:r>
    </w:p>
    <w:p>
      <w:r>
        <w:rPr>
          <w:color w:val="555555"/>
          <w:sz w:val="17"/>
        </w:rPr>
        <w:t xml:space="preserve">Zitiervorschlag: § 17 StrabBO 1987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https://recht.nulegal.eu/gesetze/StrabBO%201987/17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