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StrabBO 1987 — Streckenführung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Streckenführung und die Lage der Haltestellen müssen den Verkehrsbedürfnissen entsprechen und insbesondere günstiges Umsteigen zu anderen Verkehrsmitteln ermöglichen.</w:t>
      </w:r>
    </w:p>
    <w:p>
      <w:r>
        <w:t xml:space="preserve">(2) Bogenhalbmesser und Längsneigungen sollen fahrdynamisch günstig sein und hohe Geschwindigkeiten zulassen. Jedoch soll sich die Entwurfsgeschwindigkeit für die einzelnen Streckenabschnitte der jeweiligen Straßenraumnutzung und städtebaulichen Situation anpassen; dementsprechend können Bogenhalbmesser und Längsneigungen differenziert werden.</w:t>
      </w:r>
    </w:p>
    <w:p>
      <w:r>
        <w:t xml:space="preserve">(3) Straßenbahnstrecken dürfen Eisenbahnstrecken des öffentlichen Verkehrs nicht höhengleich kreuzen.</w:t>
      </w:r>
    </w:p>
    <w:p>
      <w:r>
        <w:t xml:space="preserve">(4) Kreuzen Straßenbahnstrecken Eisenbahnstrecken des nichtöffentlichen Verkehrs höhengleich, entscheiden die für die kreuzenden Bahnen zuständigen Aufsichtsbehörden über Art und Umfang der Sicherung.</w:t>
      </w:r>
    </w:p>
    <w:p>
      <w:r>
        <w:t xml:space="preserve">(5) Strecken für Zweirichtungsverkehr sollen nicht eingleisig sein.</w:t>
      </w:r>
    </w:p>
    <w:p>
      <w:r>
        <w:t xml:space="preserve">(6) Strecken sollen unabhängige oder besondere Bahnkörper haben.</w:t>
      </w:r>
    </w:p>
    <w:p>
      <w:r>
        <w:rPr>
          <w:color w:val="555555"/>
          <w:sz w:val="17"/>
        </w:rPr>
        <w:t xml:space="preserve">Zitiervorschlag: § 15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