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StraMaV (Brandenburg) — Inkrafttreten</w:t>
      </w:r>
    </w:p>
    <w:p>
      <w:r>
        <w:rPr>
          <w:color w:val="555555"/>
          <w:sz w:val="18"/>
        </w:rPr>
        <w:t xml:space="preserve">Straßenausbau-Mehrbelastungsausgleich-Verordnung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Einzelnorm</w:t>
      </w:r>
    </w:p>
    <w:p>
      <w:r>
        <w:t xml:space="preserve">Potsdam, den 6. September 2019</w:t>
      </w:r>
    </w:p>
    <w:p>
      <w:r>
        <w:t xml:space="preserve">Die Ministerin für Infrastruktur und Landesplanung</w:t>
      </w:r>
    </w:p>
    <w:p>
      <w:r>
        <w:t xml:space="preserve">Kathrin Schneider</w:t>
      </w:r>
    </w:p>
    <w:p>
      <w:r>
        <w:rPr>
          <w:color w:val="555555"/>
          <w:sz w:val="17"/>
        </w:rPr>
        <w:t xml:space="preserve">Zitiervorschlag: § 8 StraMaV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https://recht.nulegal.eu/gesetze/StraMaV/8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